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sz w:val="26"/>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8A475C" w:rsidRDefault="008A475C" w:rsidP="008A475C">
      <w:pPr>
        <w:ind w:firstLine="720"/>
        <w:jc w:val="both"/>
        <w:rPr>
          <w:sz w:val="26"/>
          <w:szCs w:val="26"/>
        </w:rPr>
      </w:pPr>
      <w:r>
        <w:rPr>
          <w:sz w:val="26"/>
          <w:szCs w:val="26"/>
        </w:rPr>
        <w:t xml:space="preserve">начало – </w:t>
      </w:r>
      <w:r>
        <w:rPr>
          <w:b/>
          <w:sz w:val="26"/>
          <w:szCs w:val="26"/>
        </w:rPr>
        <w:t xml:space="preserve"> </w:t>
      </w:r>
      <w:r w:rsidR="00932404">
        <w:rPr>
          <w:b/>
          <w:sz w:val="26"/>
          <w:szCs w:val="26"/>
        </w:rPr>
        <w:t>28</w:t>
      </w:r>
      <w:r>
        <w:rPr>
          <w:b/>
          <w:sz w:val="26"/>
          <w:szCs w:val="26"/>
        </w:rPr>
        <w:t xml:space="preserve"> </w:t>
      </w:r>
      <w:r w:rsidR="00932404">
        <w:rPr>
          <w:b/>
          <w:sz w:val="26"/>
          <w:szCs w:val="26"/>
        </w:rPr>
        <w:t xml:space="preserve">мая </w:t>
      </w:r>
      <w:r>
        <w:rPr>
          <w:b/>
          <w:sz w:val="26"/>
          <w:szCs w:val="26"/>
        </w:rPr>
        <w:t xml:space="preserve">2021  года </w:t>
      </w:r>
      <w:r>
        <w:rPr>
          <w:sz w:val="26"/>
          <w:szCs w:val="26"/>
        </w:rPr>
        <w:t xml:space="preserve">в 09 час. 00 мин., </w:t>
      </w:r>
    </w:p>
    <w:p w:rsidR="008A475C" w:rsidRDefault="008A475C" w:rsidP="008A475C">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932404">
        <w:rPr>
          <w:b/>
          <w:sz w:val="26"/>
          <w:szCs w:val="26"/>
        </w:rPr>
        <w:t>22</w:t>
      </w:r>
      <w:r w:rsidR="00BC3F50">
        <w:rPr>
          <w:b/>
          <w:sz w:val="26"/>
          <w:szCs w:val="26"/>
        </w:rPr>
        <w:t xml:space="preserve">  </w:t>
      </w:r>
      <w:r w:rsidR="00932404">
        <w:rPr>
          <w:b/>
          <w:sz w:val="26"/>
          <w:szCs w:val="26"/>
        </w:rPr>
        <w:t xml:space="preserve">июня </w:t>
      </w:r>
      <w:r>
        <w:rPr>
          <w:b/>
          <w:sz w:val="26"/>
          <w:szCs w:val="26"/>
        </w:rPr>
        <w:t>2021 года</w:t>
      </w:r>
      <w:r>
        <w:rPr>
          <w:sz w:val="26"/>
          <w:szCs w:val="26"/>
        </w:rPr>
        <w:t xml:space="preserve"> в 17 час. 00 мин.</w:t>
      </w:r>
    </w:p>
    <w:p w:rsidR="008A475C" w:rsidRDefault="008A475C" w:rsidP="008A475C">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932404">
        <w:rPr>
          <w:b/>
          <w:position w:val="-2"/>
          <w:sz w:val="26"/>
          <w:szCs w:val="26"/>
        </w:rPr>
        <w:t>23</w:t>
      </w:r>
      <w:r>
        <w:rPr>
          <w:b/>
          <w:position w:val="-2"/>
          <w:sz w:val="26"/>
          <w:szCs w:val="26"/>
        </w:rPr>
        <w:t xml:space="preserve"> </w:t>
      </w:r>
      <w:r w:rsidR="00932404">
        <w:rPr>
          <w:b/>
          <w:position w:val="-2"/>
          <w:sz w:val="26"/>
          <w:szCs w:val="26"/>
        </w:rPr>
        <w:t xml:space="preserve">июня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8A475C" w:rsidRPr="008A475C" w:rsidRDefault="008A475C" w:rsidP="008A475C">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932404">
        <w:rPr>
          <w:b/>
          <w:sz w:val="26"/>
          <w:szCs w:val="26"/>
        </w:rPr>
        <w:t>28</w:t>
      </w:r>
      <w:r>
        <w:rPr>
          <w:b/>
          <w:sz w:val="26"/>
          <w:szCs w:val="26"/>
        </w:rPr>
        <w:t xml:space="preserve"> </w:t>
      </w:r>
      <w:r w:rsidR="00932404">
        <w:rPr>
          <w:b/>
          <w:sz w:val="26"/>
          <w:szCs w:val="26"/>
        </w:rPr>
        <w:t xml:space="preserve">июня </w:t>
      </w:r>
      <w:r>
        <w:rPr>
          <w:b/>
          <w:sz w:val="26"/>
          <w:szCs w:val="26"/>
        </w:rPr>
        <w:t>2021 года в 11 час. 00 мин.</w:t>
      </w: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w:t>
      </w:r>
      <w:r w:rsidR="00785C3C">
        <w:rPr>
          <w:sz w:val="26"/>
          <w:szCs w:val="26"/>
        </w:rPr>
        <w:t xml:space="preserve"> Нежилое здание</w:t>
      </w:r>
      <w:r w:rsidR="00AE3CDA">
        <w:rPr>
          <w:sz w:val="26"/>
          <w:szCs w:val="26"/>
        </w:rPr>
        <w:t xml:space="preserve">, </w:t>
      </w:r>
      <w:r w:rsidR="00785C3C">
        <w:rPr>
          <w:sz w:val="26"/>
          <w:szCs w:val="26"/>
        </w:rPr>
        <w:t xml:space="preserve">общей </w:t>
      </w:r>
      <w:r w:rsidR="00AE3CDA">
        <w:rPr>
          <w:sz w:val="26"/>
          <w:szCs w:val="26"/>
        </w:rPr>
        <w:t xml:space="preserve">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Pr="00932404">
        <w:t>:</w:t>
      </w:r>
      <w:r w:rsidR="00932404" w:rsidRPr="00932404">
        <w:rPr>
          <w:bCs/>
        </w:rPr>
        <w:t xml:space="preserve"> 727000</w:t>
      </w:r>
      <w:r w:rsidR="00932404">
        <w:rPr>
          <w:bCs/>
        </w:rPr>
        <w:t>,00</w:t>
      </w:r>
      <w:r w:rsidR="004C6EDD">
        <w:rPr>
          <w:bCs/>
          <w:color w:val="000000"/>
          <w:shd w:val="clear" w:color="auto" w:fill="FFFFFF" w:themeFill="background1"/>
        </w:rPr>
        <w:t xml:space="preserve"> </w:t>
      </w:r>
      <w:r w:rsidR="003C6506">
        <w:rPr>
          <w:sz w:val="26"/>
          <w:szCs w:val="26"/>
        </w:rPr>
        <w:t>(</w:t>
      </w:r>
      <w:r w:rsidR="00932404">
        <w:rPr>
          <w:sz w:val="26"/>
          <w:szCs w:val="26"/>
        </w:rPr>
        <w:t>семьсот</w:t>
      </w:r>
      <w:r w:rsidR="004C6EDD">
        <w:rPr>
          <w:sz w:val="26"/>
          <w:szCs w:val="26"/>
        </w:rPr>
        <w:t xml:space="preserve"> </w:t>
      </w:r>
      <w:r w:rsidR="00932404">
        <w:rPr>
          <w:sz w:val="26"/>
          <w:szCs w:val="26"/>
        </w:rPr>
        <w:t xml:space="preserve">двадцать семь </w:t>
      </w:r>
      <w:r w:rsidR="004C6EDD">
        <w:rPr>
          <w:sz w:val="26"/>
          <w:szCs w:val="26"/>
        </w:rPr>
        <w:t xml:space="preserve">тысяч) </w:t>
      </w:r>
      <w:r w:rsidRPr="003C6506">
        <w:rPr>
          <w:sz w:val="26"/>
          <w:szCs w:val="26"/>
        </w:rPr>
        <w:t>рублей</w:t>
      </w:r>
      <w:r w:rsidR="003C6506">
        <w:rPr>
          <w:sz w:val="26"/>
          <w:szCs w:val="26"/>
        </w:rPr>
        <w:t xml:space="preserve">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8E4D2B" w:rsidRPr="008E4D2B">
        <w:rPr>
          <w:rFonts w:ascii="Verdana" w:hAnsi="Verdana"/>
          <w:b/>
          <w:bCs/>
          <w:color w:val="000000"/>
          <w:shd w:val="clear" w:color="auto" w:fill="F2F9FF"/>
        </w:rPr>
        <w:t xml:space="preserve"> </w:t>
      </w:r>
      <w:r w:rsidR="00932404" w:rsidRPr="00932404">
        <w:rPr>
          <w:bCs/>
          <w:color w:val="000000"/>
        </w:rPr>
        <w:t>21810</w:t>
      </w:r>
      <w:r w:rsidR="00932404">
        <w:rPr>
          <w:rFonts w:ascii="Verdana" w:hAnsi="Verdana"/>
          <w:b/>
          <w:bCs/>
          <w:color w:val="000000"/>
          <w:shd w:val="clear" w:color="auto" w:fill="F2F9FF"/>
        </w:rPr>
        <w:t xml:space="preserve"> </w:t>
      </w:r>
      <w:r w:rsidR="00250372" w:rsidRPr="00785C3C">
        <w:rPr>
          <w:bCs/>
          <w:color w:val="000000"/>
          <w:shd w:val="clear" w:color="auto" w:fill="FFFFFF" w:themeFill="background1"/>
        </w:rPr>
        <w:t>тысяч</w:t>
      </w:r>
      <w:r w:rsidR="008E4D2B">
        <w:rPr>
          <w:bCs/>
          <w:color w:val="000000"/>
          <w:shd w:val="clear" w:color="auto" w:fill="FFFFFF" w:themeFill="background1"/>
        </w:rPr>
        <w:t>и</w:t>
      </w:r>
      <w:r w:rsidR="00250372" w:rsidRPr="00785C3C">
        <w:rPr>
          <w:bCs/>
          <w:color w:val="000000"/>
          <w:shd w:val="clear" w:color="auto" w:fill="FFFFFF" w:themeFill="background1"/>
        </w:rPr>
        <w:t xml:space="preserve">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41437E">
        <w:rPr>
          <w:bCs/>
          <w:color w:val="000000"/>
          <w:shd w:val="clear" w:color="auto" w:fill="FFFFFF" w:themeFill="background1"/>
        </w:rPr>
        <w:t xml:space="preserve"> </w:t>
      </w:r>
      <w:r w:rsidR="00932404" w:rsidRPr="00932404">
        <w:rPr>
          <w:bCs/>
        </w:rPr>
        <w:t>145400</w:t>
      </w:r>
      <w:r w:rsidR="00932404" w:rsidRPr="00932404">
        <w:rPr>
          <w:rFonts w:ascii="Verdana" w:hAnsi="Verdana"/>
          <w:b/>
          <w:bCs/>
          <w:color w:val="000000"/>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704FF8" w:rsidRPr="00704FF8" w:rsidRDefault="00EC6BE5" w:rsidP="00704FF8">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704FF8" w:rsidRPr="00704FF8">
        <w:t xml:space="preserve">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26110"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04FF8" w:rsidRPr="00704FF8" w:rsidRDefault="00B65C71" w:rsidP="00704FF8">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704FF8">
        <w:rPr>
          <w:sz w:val="26"/>
          <w:szCs w:val="26"/>
        </w:rPr>
        <w:t>:</w:t>
      </w:r>
      <w:r w:rsidR="00704FF8" w:rsidRPr="00704FF8">
        <w:rPr>
          <w:b/>
        </w:rPr>
        <w:t xml:space="preserve">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C6BE5"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785C3C" w:rsidRPr="003A48F3" w:rsidRDefault="00785C3C" w:rsidP="00785C3C">
      <w:pPr>
        <w:jc w:val="center"/>
        <w:rPr>
          <w:b/>
        </w:rPr>
      </w:pPr>
      <w:r w:rsidRPr="003A48F3">
        <w:rPr>
          <w:b/>
        </w:rPr>
        <w:t>ДОГОВОР КУПЛИ – ПРОДАЖИ №</w:t>
      </w:r>
      <w:r>
        <w:rPr>
          <w:b/>
        </w:rPr>
        <w:t>___</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rsidR="00925E2A">
        <w:t>1</w:t>
      </w:r>
      <w:r w:rsidRPr="003A48F3">
        <w:t xml:space="preserve"> года</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85C3C" w:rsidRPr="003A48F3" w:rsidRDefault="00785C3C" w:rsidP="00785C3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785C3C" w:rsidRPr="003A48F3" w:rsidRDefault="00785C3C" w:rsidP="00785C3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85C3C" w:rsidRPr="003A48F3" w:rsidRDefault="00785C3C" w:rsidP="00785C3C">
      <w:pPr>
        <w:overflowPunct w:val="0"/>
        <w:autoSpaceDE w:val="0"/>
        <w:autoSpaceDN w:val="0"/>
        <w:adjustRightInd w:val="0"/>
        <w:ind w:firstLine="708"/>
        <w:jc w:val="both"/>
        <w:textAlignment w:val="baseline"/>
      </w:pPr>
    </w:p>
    <w:p w:rsidR="00785C3C" w:rsidRPr="003A48F3" w:rsidRDefault="00785C3C" w:rsidP="00785C3C">
      <w:pPr>
        <w:overflowPunct w:val="0"/>
        <w:autoSpaceDE w:val="0"/>
        <w:autoSpaceDN w:val="0"/>
        <w:adjustRightInd w:val="0"/>
        <w:ind w:firstLine="708"/>
        <w:jc w:val="center"/>
        <w:textAlignment w:val="baseline"/>
      </w:pPr>
      <w:r w:rsidRPr="003A48F3">
        <w:rPr>
          <w:b/>
        </w:rPr>
        <w:t>1. ПРЕДМЕТ ДОГОВОРА</w:t>
      </w:r>
    </w:p>
    <w:p w:rsidR="00785C3C" w:rsidRPr="00785C3C" w:rsidRDefault="00785C3C" w:rsidP="00785C3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недвижимое имущество: </w:t>
      </w:r>
      <w:r w:rsidRPr="00785C3C">
        <w:t>Нежилое здание, общей площадью: 352,3 кв.м.  адрес (местонахождения) объекта: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p>
    <w:p w:rsidR="00785C3C" w:rsidRPr="003A48F3" w:rsidRDefault="00785C3C" w:rsidP="00785C3C">
      <w:pPr>
        <w:pStyle w:val="a8"/>
        <w:tabs>
          <w:tab w:val="left" w:pos="709"/>
        </w:tabs>
        <w:spacing w:after="0"/>
        <w:ind w:firstLine="720"/>
        <w:jc w:val="both"/>
        <w:rPr>
          <w:b/>
        </w:rPr>
      </w:pPr>
      <w:r w:rsidRPr="003A48F3">
        <w:t xml:space="preserve"> (далее – имущество).</w:t>
      </w:r>
    </w:p>
    <w:p w:rsidR="00785C3C" w:rsidRPr="003A48F3" w:rsidRDefault="00785C3C" w:rsidP="00785C3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2. ПРАВА  И  ОБЯЗАННОСТИ  СТОРОН</w:t>
      </w:r>
    </w:p>
    <w:p w:rsidR="00785C3C" w:rsidRPr="003A48F3" w:rsidRDefault="00785C3C" w:rsidP="00785C3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785C3C" w:rsidRPr="003A48F3" w:rsidRDefault="00785C3C" w:rsidP="00785C3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85C3C" w:rsidRPr="003A48F3" w:rsidRDefault="00785C3C" w:rsidP="00785C3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785C3C" w:rsidRPr="003A48F3" w:rsidRDefault="00785C3C" w:rsidP="00785C3C">
      <w:pPr>
        <w:overflowPunct w:val="0"/>
        <w:autoSpaceDE w:val="0"/>
        <w:autoSpaceDN w:val="0"/>
        <w:adjustRightInd w:val="0"/>
        <w:jc w:val="both"/>
        <w:textAlignment w:val="baseline"/>
      </w:pPr>
      <w:r w:rsidRPr="003A48F3">
        <w:t xml:space="preserve"> </w:t>
      </w:r>
    </w:p>
    <w:p w:rsidR="00785C3C" w:rsidRPr="003A48F3" w:rsidRDefault="00785C3C" w:rsidP="00785C3C">
      <w:pPr>
        <w:overflowPunct w:val="0"/>
        <w:autoSpaceDE w:val="0"/>
        <w:autoSpaceDN w:val="0"/>
        <w:adjustRightInd w:val="0"/>
        <w:jc w:val="center"/>
        <w:textAlignment w:val="baseline"/>
        <w:rPr>
          <w:b/>
        </w:rPr>
      </w:pPr>
      <w:r w:rsidRPr="003A48F3">
        <w:rPr>
          <w:b/>
        </w:rPr>
        <w:t>3. ЦЕНА И ПОРЯДОК РАСЧЕТОВ</w:t>
      </w:r>
    </w:p>
    <w:p w:rsidR="00785C3C" w:rsidRPr="003A48F3" w:rsidRDefault="00785C3C" w:rsidP="00785C3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704FF8" w:rsidRPr="00704FF8" w:rsidRDefault="00785C3C" w:rsidP="00704FF8">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w:t>
      </w:r>
      <w:r w:rsidR="00704FF8" w:rsidRPr="00704FF8">
        <w:t>40102810645370000</w:t>
      </w:r>
      <w:r w:rsidR="00704FF8">
        <w:t xml:space="preserve">062, </w:t>
      </w:r>
      <w:r w:rsidR="00704FF8" w:rsidRPr="00704FF8">
        <w:t>Получатель: УФК по Челябинской области (Администрация Ка</w:t>
      </w:r>
      <w:r w:rsidR="00704FF8">
        <w:t xml:space="preserve">слинского городского поселения), </w:t>
      </w:r>
      <w:r w:rsidR="00704FF8" w:rsidRPr="00704FF8">
        <w:t>Казначейский счет получателя:</w:t>
      </w:r>
      <w:r w:rsidR="00704FF8">
        <w:t xml:space="preserve">03100643000000016900, </w:t>
      </w:r>
      <w:r w:rsidR="00704FF8" w:rsidRPr="00704FF8">
        <w:t>ИНН 7402006950</w:t>
      </w:r>
      <w:r w:rsidR="00704FF8">
        <w:t xml:space="preserve">, </w:t>
      </w:r>
      <w:r w:rsidR="00704FF8" w:rsidRPr="00704FF8">
        <w:t>КПП 745901001</w:t>
      </w:r>
      <w:r w:rsidR="00704FF8">
        <w:t xml:space="preserve">, </w:t>
      </w:r>
      <w:r w:rsidR="00704FF8" w:rsidRPr="00704FF8">
        <w:t>ОКТМО 75626101</w:t>
      </w:r>
    </w:p>
    <w:p w:rsidR="00704FF8" w:rsidRPr="00704FF8" w:rsidRDefault="00704FF8" w:rsidP="00704FF8">
      <w:pPr>
        <w:jc w:val="both"/>
      </w:pPr>
      <w:r w:rsidRPr="00704FF8">
        <w:t>КБК  06711402053130000410</w:t>
      </w:r>
      <w:r>
        <w:t>.</w:t>
      </w:r>
    </w:p>
    <w:p w:rsidR="00785C3C" w:rsidRPr="003A48F3" w:rsidRDefault="00785C3C" w:rsidP="00785C3C">
      <w:pPr>
        <w:jc w:val="both"/>
      </w:pPr>
    </w:p>
    <w:p w:rsidR="00785C3C" w:rsidRPr="003A48F3" w:rsidRDefault="00785C3C" w:rsidP="00785C3C">
      <w:pPr>
        <w:overflowPunct w:val="0"/>
        <w:autoSpaceDE w:val="0"/>
        <w:autoSpaceDN w:val="0"/>
        <w:adjustRightInd w:val="0"/>
        <w:jc w:val="both"/>
        <w:textAlignment w:val="baseline"/>
      </w:pPr>
      <w:r w:rsidRPr="003A48F3">
        <w:lastRenderedPageBreak/>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785C3C" w:rsidRPr="003A48F3" w:rsidRDefault="00785C3C" w:rsidP="00785C3C">
      <w:pPr>
        <w:overflowPunct w:val="0"/>
        <w:autoSpaceDE w:val="0"/>
        <w:autoSpaceDN w:val="0"/>
        <w:adjustRightInd w:val="0"/>
        <w:jc w:val="both"/>
        <w:textAlignment w:val="baseline"/>
      </w:pPr>
      <w:bookmarkStart w:id="0" w:name="_GoBack"/>
      <w:bookmarkEnd w:id="0"/>
    </w:p>
    <w:p w:rsidR="00785C3C" w:rsidRPr="003A48F3" w:rsidRDefault="00785C3C" w:rsidP="00785C3C">
      <w:pPr>
        <w:overflowPunct w:val="0"/>
        <w:autoSpaceDE w:val="0"/>
        <w:autoSpaceDN w:val="0"/>
        <w:adjustRightInd w:val="0"/>
        <w:jc w:val="center"/>
        <w:textAlignment w:val="baseline"/>
        <w:rPr>
          <w:b/>
        </w:rPr>
      </w:pPr>
      <w:r w:rsidRPr="003A48F3">
        <w:rPr>
          <w:b/>
        </w:rPr>
        <w:t>4. ОТВЕТСТВЕННОСТЬ  СТОРОН</w:t>
      </w:r>
    </w:p>
    <w:p w:rsidR="00785C3C" w:rsidRPr="003A48F3" w:rsidRDefault="00785C3C" w:rsidP="00785C3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785C3C" w:rsidRPr="003A48F3" w:rsidRDefault="00785C3C" w:rsidP="00785C3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785C3C" w:rsidRPr="003A48F3" w:rsidRDefault="00785C3C" w:rsidP="00785C3C">
      <w:pPr>
        <w:overflowPunct w:val="0"/>
        <w:autoSpaceDE w:val="0"/>
        <w:autoSpaceDN w:val="0"/>
        <w:adjustRightInd w:val="0"/>
        <w:jc w:val="both"/>
        <w:textAlignment w:val="baseline"/>
      </w:pPr>
      <w:r w:rsidRPr="003A48F3">
        <w:t>- нарушения ПОКУПАТЕЛЕМ п. 2.5 настоящего Договора.</w:t>
      </w:r>
    </w:p>
    <w:p w:rsidR="00785C3C" w:rsidRPr="003A48F3" w:rsidRDefault="00785C3C" w:rsidP="00785C3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85C3C" w:rsidRPr="003A48F3" w:rsidRDefault="00785C3C" w:rsidP="00785C3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785C3C" w:rsidRPr="003A48F3" w:rsidRDefault="00785C3C" w:rsidP="00785C3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785C3C" w:rsidRPr="003A48F3" w:rsidRDefault="00785C3C" w:rsidP="00785C3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85C3C" w:rsidRPr="003A48F3" w:rsidRDefault="00785C3C" w:rsidP="00785C3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785C3C" w:rsidRPr="003A48F3" w:rsidRDefault="00785C3C" w:rsidP="00785C3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85C3C" w:rsidRPr="003A48F3" w:rsidRDefault="00785C3C" w:rsidP="00785C3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p>
    <w:p w:rsidR="00785C3C" w:rsidRPr="003A48F3" w:rsidRDefault="00785C3C" w:rsidP="00785C3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785C3C" w:rsidRPr="003A48F3" w:rsidRDefault="00785C3C" w:rsidP="00785C3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85C3C" w:rsidRPr="003A48F3" w:rsidRDefault="00785C3C" w:rsidP="00785C3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85C3C" w:rsidRPr="003A48F3" w:rsidRDefault="00785C3C" w:rsidP="00785C3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85C3C"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25E2A" w:rsidRDefault="00925E2A" w:rsidP="00785C3C">
      <w:pPr>
        <w:pStyle w:val="ConsPlusNormal"/>
        <w:ind w:firstLine="0"/>
        <w:jc w:val="both"/>
        <w:rPr>
          <w:rFonts w:ascii="Times New Roman" w:hAnsi="Times New Roman" w:cs="Times New Roman"/>
          <w:sz w:val="24"/>
          <w:szCs w:val="24"/>
        </w:rPr>
      </w:pPr>
    </w:p>
    <w:p w:rsidR="00925E2A" w:rsidRPr="003A48F3" w:rsidRDefault="00925E2A" w:rsidP="00785C3C">
      <w:pPr>
        <w:pStyle w:val="ConsPlusNormal"/>
        <w:ind w:firstLine="0"/>
        <w:jc w:val="both"/>
        <w:rPr>
          <w:rFonts w:ascii="Times New Roman" w:hAnsi="Times New Roman" w:cs="Times New Roman"/>
          <w:sz w:val="24"/>
          <w:szCs w:val="24"/>
        </w:rPr>
      </w:pPr>
    </w:p>
    <w:p w:rsidR="00785C3C" w:rsidRPr="003A48F3" w:rsidRDefault="00785C3C" w:rsidP="00785C3C">
      <w:pPr>
        <w:overflowPunct w:val="0"/>
        <w:autoSpaceDE w:val="0"/>
        <w:autoSpaceDN w:val="0"/>
        <w:adjustRightInd w:val="0"/>
        <w:jc w:val="center"/>
        <w:textAlignment w:val="baseline"/>
      </w:pPr>
      <w:r w:rsidRPr="003A48F3">
        <w:rPr>
          <w:b/>
        </w:rPr>
        <w:lastRenderedPageBreak/>
        <w:t>7. ЗАКЛЮЧИТЕЛЬНЫЕ  ПОЛОЖЕНИЯ</w:t>
      </w:r>
    </w:p>
    <w:p w:rsidR="00785C3C" w:rsidRPr="003A48F3" w:rsidRDefault="00785C3C" w:rsidP="00785C3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785C3C" w:rsidRPr="008817D9" w:rsidRDefault="00785C3C" w:rsidP="00785C3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 xml:space="preserve">ПРОДАВЕЦ:                                                                             </w:t>
      </w:r>
    </w:p>
    <w:p w:rsidR="00676704" w:rsidRPr="00AA009B" w:rsidRDefault="00676704" w:rsidP="00676704">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676704" w:rsidRPr="00AA009B" w:rsidRDefault="00676704" w:rsidP="00676704">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r w:rsidR="008E4D2B">
        <w:t xml:space="preserve"> </w:t>
      </w: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 xml:space="preserve">Глава </w:t>
      </w:r>
    </w:p>
    <w:p w:rsidR="00785C3C" w:rsidRDefault="00785C3C" w:rsidP="00785C3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ПОКУПАТЕЛЬ:</w:t>
      </w:r>
    </w:p>
    <w:p w:rsidR="00785C3C" w:rsidRPr="003A48F3" w:rsidRDefault="00785C3C" w:rsidP="00785C3C">
      <w:pPr>
        <w:widowControl w:val="0"/>
        <w:tabs>
          <w:tab w:val="left" w:pos="6161"/>
        </w:tabs>
        <w:autoSpaceDE w:val="0"/>
        <w:autoSpaceDN w:val="0"/>
        <w:adjustRightInd w:val="0"/>
        <w:jc w:val="both"/>
      </w:pPr>
      <w:r w:rsidRPr="003A48F3">
        <w:tab/>
      </w:r>
    </w:p>
    <w:p w:rsidR="00785C3C" w:rsidRDefault="00785C3C" w:rsidP="00785C3C">
      <w:pPr>
        <w:widowControl w:val="0"/>
        <w:autoSpaceDE w:val="0"/>
        <w:autoSpaceDN w:val="0"/>
        <w:adjustRightInd w:val="0"/>
        <w:jc w:val="both"/>
      </w:pPr>
      <w:r>
        <w:t>______________</w:t>
      </w:r>
    </w:p>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3A48F3" w:rsidRDefault="00785C3C" w:rsidP="00785C3C">
      <w:pPr>
        <w:pageBreakBefore/>
        <w:tabs>
          <w:tab w:val="left" w:pos="6732"/>
          <w:tab w:val="right" w:pos="9355"/>
        </w:tabs>
      </w:pPr>
      <w:r w:rsidRPr="003A48F3">
        <w:lastRenderedPageBreak/>
        <w:t>«   » _________202</w:t>
      </w:r>
      <w:r w:rsidR="00925E2A">
        <w:t>1</w:t>
      </w:r>
      <w:r w:rsidRPr="003A48F3">
        <w:t>г.</w:t>
      </w:r>
      <w:r w:rsidRPr="003A48F3">
        <w:tab/>
      </w:r>
      <w:r w:rsidRPr="003A48F3">
        <w:tab/>
        <w:t xml:space="preserve">ПРИЛОЖЕНИЕ № 1 </w:t>
      </w:r>
    </w:p>
    <w:p w:rsidR="00785C3C" w:rsidRPr="003A48F3" w:rsidRDefault="00785C3C" w:rsidP="00785C3C">
      <w:pPr>
        <w:ind w:left="5040"/>
        <w:jc w:val="right"/>
      </w:pPr>
      <w:r w:rsidRPr="003A48F3">
        <w:t>к договору купли – продажи №__</w:t>
      </w:r>
    </w:p>
    <w:p w:rsidR="00785C3C" w:rsidRPr="003A48F3" w:rsidRDefault="00785C3C" w:rsidP="00785C3C">
      <w:pPr>
        <w:ind w:left="5040"/>
        <w:jc w:val="right"/>
      </w:pPr>
      <w:r w:rsidRPr="003A48F3">
        <w:t>от «___»______202</w:t>
      </w:r>
      <w:r w:rsidR="00925E2A">
        <w:t>1</w:t>
      </w:r>
      <w:r w:rsidRPr="003A48F3">
        <w:t xml:space="preserve">г. </w:t>
      </w:r>
    </w:p>
    <w:p w:rsidR="00785C3C" w:rsidRPr="003A48F3" w:rsidRDefault="00785C3C" w:rsidP="00785C3C">
      <w:pPr>
        <w:ind w:left="5040"/>
      </w:pPr>
    </w:p>
    <w:p w:rsidR="00785C3C" w:rsidRPr="003A48F3" w:rsidRDefault="00785C3C" w:rsidP="00785C3C">
      <w:pPr>
        <w:jc w:val="center"/>
        <w:rPr>
          <w:b/>
        </w:rPr>
      </w:pPr>
      <w:r w:rsidRPr="003A48F3">
        <w:rPr>
          <w:b/>
        </w:rPr>
        <w:t>АКТ</w:t>
      </w:r>
    </w:p>
    <w:p w:rsidR="00785C3C" w:rsidRPr="003A48F3" w:rsidRDefault="00785C3C" w:rsidP="00785C3C">
      <w:pPr>
        <w:jc w:val="center"/>
        <w:rPr>
          <w:b/>
        </w:rPr>
      </w:pPr>
      <w:r w:rsidRPr="003A48F3">
        <w:rPr>
          <w:b/>
        </w:rPr>
        <w:t xml:space="preserve">приема – передачи </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85C3C" w:rsidRPr="003A48F3" w:rsidRDefault="00785C3C" w:rsidP="00785C3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4C6EDD" w:rsidRDefault="00785C3C" w:rsidP="004C6EDD">
      <w:pPr>
        <w:pStyle w:val="a8"/>
        <w:tabs>
          <w:tab w:val="left" w:pos="709"/>
        </w:tabs>
        <w:ind w:firstLine="720"/>
        <w:jc w:val="both"/>
      </w:pPr>
      <w:r w:rsidRPr="003A48F3">
        <w:t xml:space="preserve">1. </w:t>
      </w:r>
      <w:proofErr w:type="gramStart"/>
      <w:r w:rsidRPr="003A48F3">
        <w:t xml:space="preserve">Продавец передал, а Покупатель принял - </w:t>
      </w:r>
      <w:r w:rsidRPr="00785C3C">
        <w:t>Нежилое здание, общей площадью: 352,3 кв.м.  адрес (местонахождения) объекта:</w:t>
      </w:r>
      <w:proofErr w:type="gramEnd"/>
      <w:r w:rsidRPr="00785C3C">
        <w:t xml:space="preserve">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r>
        <w:t>.</w:t>
      </w:r>
    </w:p>
    <w:p w:rsidR="00785C3C" w:rsidRPr="003A48F3" w:rsidRDefault="00785C3C" w:rsidP="004C6EDD">
      <w:pPr>
        <w:pStyle w:val="a8"/>
        <w:tabs>
          <w:tab w:val="left" w:pos="709"/>
        </w:tabs>
        <w:jc w:val="both"/>
      </w:pPr>
      <w:r w:rsidRPr="003A48F3">
        <w:t>2. Оплата по договору произведена полностью, Стороны взаимных претензий не имеют.</w:t>
      </w:r>
    </w:p>
    <w:p w:rsidR="00785C3C" w:rsidRPr="003A48F3" w:rsidRDefault="00785C3C" w:rsidP="00785C3C">
      <w:pPr>
        <w:spacing w:after="120"/>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4. Настоящий акт является неотъемлемой частью (приложением) договора купли-продажи №__ от  _ _____202</w:t>
      </w:r>
      <w:r w:rsidR="00925E2A">
        <w:t>1</w:t>
      </w:r>
      <w:r w:rsidRPr="003A48F3">
        <w:t>года.</w:t>
      </w:r>
    </w:p>
    <w:p w:rsidR="00785C3C" w:rsidRPr="003A48F3" w:rsidRDefault="00785C3C" w:rsidP="00785C3C">
      <w:pPr>
        <w:jc w:val="both"/>
        <w:rPr>
          <w:b/>
        </w:rPr>
      </w:pPr>
    </w:p>
    <w:p w:rsidR="00785C3C" w:rsidRPr="003A48F3" w:rsidRDefault="00785C3C" w:rsidP="00785C3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785C3C" w:rsidRPr="003A48F3" w:rsidRDefault="00785C3C" w:rsidP="00785C3C"/>
    <w:p w:rsidR="00785C3C" w:rsidRPr="003A48F3" w:rsidRDefault="00785C3C" w:rsidP="00785C3C">
      <w:r w:rsidRPr="003A48F3">
        <w:t>Глава</w:t>
      </w:r>
    </w:p>
    <w:p w:rsidR="00785C3C" w:rsidRPr="003A48F3" w:rsidRDefault="00785C3C" w:rsidP="00785C3C">
      <w:r w:rsidRPr="003A48F3">
        <w:t>Каслинского городского поселения                                                                                                                                                                    __________________Е.Н. Васенина                                          __________</w:t>
      </w:r>
    </w:p>
    <w:p w:rsidR="00785C3C" w:rsidRPr="003A48F3" w:rsidRDefault="00785C3C" w:rsidP="00785C3C"/>
    <w:p w:rsidR="00785C3C" w:rsidRPr="003A48F3" w:rsidRDefault="00785C3C" w:rsidP="00785C3C">
      <w:r w:rsidRPr="003A48F3">
        <w:t>«__» _________ 202</w:t>
      </w:r>
      <w:r w:rsidR="00925E2A">
        <w:t>1</w:t>
      </w:r>
      <w:r w:rsidRPr="003A48F3">
        <w:t>года                                                           «__» _________ 202</w:t>
      </w:r>
      <w:r w:rsidR="00925E2A">
        <w:t>1</w:t>
      </w:r>
      <w:r w:rsidRPr="003A48F3">
        <w:t>года</w:t>
      </w:r>
    </w:p>
    <w:p w:rsidR="00785C3C" w:rsidRPr="003A48F3" w:rsidRDefault="00785C3C" w:rsidP="00785C3C">
      <w:pPr>
        <w:contextualSpacing/>
        <w:jc w:val="both"/>
      </w:pPr>
    </w:p>
    <w:p w:rsidR="00785C3C" w:rsidRPr="003A48F3" w:rsidRDefault="00785C3C" w:rsidP="00785C3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71B90"/>
    <w:rsid w:val="0009151E"/>
    <w:rsid w:val="000D09B5"/>
    <w:rsid w:val="000D3075"/>
    <w:rsid w:val="000E7CA0"/>
    <w:rsid w:val="00110091"/>
    <w:rsid w:val="00117F75"/>
    <w:rsid w:val="00120833"/>
    <w:rsid w:val="001242E7"/>
    <w:rsid w:val="00136D5F"/>
    <w:rsid w:val="00151712"/>
    <w:rsid w:val="001748BF"/>
    <w:rsid w:val="001C7026"/>
    <w:rsid w:val="001D2781"/>
    <w:rsid w:val="001F2D0C"/>
    <w:rsid w:val="001F4ECC"/>
    <w:rsid w:val="002021C1"/>
    <w:rsid w:val="0020346E"/>
    <w:rsid w:val="00227ECD"/>
    <w:rsid w:val="00250372"/>
    <w:rsid w:val="002B08E3"/>
    <w:rsid w:val="003027EB"/>
    <w:rsid w:val="003048BF"/>
    <w:rsid w:val="00304CDB"/>
    <w:rsid w:val="00310A50"/>
    <w:rsid w:val="00311520"/>
    <w:rsid w:val="00320C86"/>
    <w:rsid w:val="0033464A"/>
    <w:rsid w:val="00372545"/>
    <w:rsid w:val="00377A59"/>
    <w:rsid w:val="00383F23"/>
    <w:rsid w:val="00386A1E"/>
    <w:rsid w:val="00387D6A"/>
    <w:rsid w:val="003A62DB"/>
    <w:rsid w:val="003B0F56"/>
    <w:rsid w:val="003B6F9E"/>
    <w:rsid w:val="003C03C5"/>
    <w:rsid w:val="003C6506"/>
    <w:rsid w:val="0041437E"/>
    <w:rsid w:val="004342A8"/>
    <w:rsid w:val="00470974"/>
    <w:rsid w:val="00475D4E"/>
    <w:rsid w:val="00485960"/>
    <w:rsid w:val="004B29B5"/>
    <w:rsid w:val="004C6EDD"/>
    <w:rsid w:val="004E7BAE"/>
    <w:rsid w:val="005015C0"/>
    <w:rsid w:val="00501D32"/>
    <w:rsid w:val="00551DCC"/>
    <w:rsid w:val="00577EFE"/>
    <w:rsid w:val="00594955"/>
    <w:rsid w:val="005B1FBE"/>
    <w:rsid w:val="005B532A"/>
    <w:rsid w:val="005D30A2"/>
    <w:rsid w:val="005D72AC"/>
    <w:rsid w:val="005E77CC"/>
    <w:rsid w:val="00632BCF"/>
    <w:rsid w:val="0063494F"/>
    <w:rsid w:val="00642B8C"/>
    <w:rsid w:val="00647AC8"/>
    <w:rsid w:val="00652950"/>
    <w:rsid w:val="00676704"/>
    <w:rsid w:val="00697654"/>
    <w:rsid w:val="006B1193"/>
    <w:rsid w:val="006F395F"/>
    <w:rsid w:val="00704FF8"/>
    <w:rsid w:val="0072026C"/>
    <w:rsid w:val="00725535"/>
    <w:rsid w:val="00785C3C"/>
    <w:rsid w:val="007C4ADE"/>
    <w:rsid w:val="00801735"/>
    <w:rsid w:val="00816910"/>
    <w:rsid w:val="00816A26"/>
    <w:rsid w:val="0083613E"/>
    <w:rsid w:val="00854B4E"/>
    <w:rsid w:val="008576C8"/>
    <w:rsid w:val="008639F0"/>
    <w:rsid w:val="0087576A"/>
    <w:rsid w:val="00896681"/>
    <w:rsid w:val="008A475C"/>
    <w:rsid w:val="008C0E57"/>
    <w:rsid w:val="008D09EE"/>
    <w:rsid w:val="008E4D2B"/>
    <w:rsid w:val="008F770B"/>
    <w:rsid w:val="00900A37"/>
    <w:rsid w:val="00925E2A"/>
    <w:rsid w:val="00932404"/>
    <w:rsid w:val="00937CA9"/>
    <w:rsid w:val="00940209"/>
    <w:rsid w:val="0095224F"/>
    <w:rsid w:val="00972526"/>
    <w:rsid w:val="009A1AF5"/>
    <w:rsid w:val="009A32DB"/>
    <w:rsid w:val="00A16EF9"/>
    <w:rsid w:val="00A244C5"/>
    <w:rsid w:val="00A30EFB"/>
    <w:rsid w:val="00A32AE0"/>
    <w:rsid w:val="00A44FAC"/>
    <w:rsid w:val="00A451EB"/>
    <w:rsid w:val="00A46D34"/>
    <w:rsid w:val="00A732D1"/>
    <w:rsid w:val="00AA45E5"/>
    <w:rsid w:val="00AD1EA3"/>
    <w:rsid w:val="00AD52B2"/>
    <w:rsid w:val="00AE3CCD"/>
    <w:rsid w:val="00AE3CDA"/>
    <w:rsid w:val="00AE6E1E"/>
    <w:rsid w:val="00AF5E4E"/>
    <w:rsid w:val="00B02D9D"/>
    <w:rsid w:val="00B356CC"/>
    <w:rsid w:val="00B4698B"/>
    <w:rsid w:val="00B46D8A"/>
    <w:rsid w:val="00B510C5"/>
    <w:rsid w:val="00B57D43"/>
    <w:rsid w:val="00B65C71"/>
    <w:rsid w:val="00B84715"/>
    <w:rsid w:val="00B8472C"/>
    <w:rsid w:val="00BC3F50"/>
    <w:rsid w:val="00BD4583"/>
    <w:rsid w:val="00BE1104"/>
    <w:rsid w:val="00C279DC"/>
    <w:rsid w:val="00C4056D"/>
    <w:rsid w:val="00C505BA"/>
    <w:rsid w:val="00C756DB"/>
    <w:rsid w:val="00CB1E06"/>
    <w:rsid w:val="00CB7FCC"/>
    <w:rsid w:val="00CC3DBA"/>
    <w:rsid w:val="00CC641F"/>
    <w:rsid w:val="00CE0C61"/>
    <w:rsid w:val="00CF462F"/>
    <w:rsid w:val="00D10BD3"/>
    <w:rsid w:val="00D30578"/>
    <w:rsid w:val="00D435FC"/>
    <w:rsid w:val="00D5288C"/>
    <w:rsid w:val="00D870A8"/>
    <w:rsid w:val="00D912CF"/>
    <w:rsid w:val="00DA1B8C"/>
    <w:rsid w:val="00DC5B23"/>
    <w:rsid w:val="00DD4D4E"/>
    <w:rsid w:val="00DE6E3E"/>
    <w:rsid w:val="00E14309"/>
    <w:rsid w:val="00E26110"/>
    <w:rsid w:val="00E468A3"/>
    <w:rsid w:val="00E57624"/>
    <w:rsid w:val="00E6751E"/>
    <w:rsid w:val="00E774FE"/>
    <w:rsid w:val="00E81579"/>
    <w:rsid w:val="00E91103"/>
    <w:rsid w:val="00EA74F4"/>
    <w:rsid w:val="00EB6E3C"/>
    <w:rsid w:val="00EC2640"/>
    <w:rsid w:val="00EC6BE5"/>
    <w:rsid w:val="00EE4E07"/>
    <w:rsid w:val="00F358A1"/>
    <w:rsid w:val="00F60361"/>
    <w:rsid w:val="00F64B24"/>
    <w:rsid w:val="00F95AF5"/>
    <w:rsid w:val="00F95CE9"/>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785C3C"/>
    <w:rPr>
      <w:rFonts w:ascii="Arial" w:eastAsia="Times New Roman" w:hAnsi="Arial" w:cs="Arial"/>
      <w:sz w:val="20"/>
      <w:szCs w:val="20"/>
      <w:lang w:eastAsia="ru-RU"/>
    </w:rPr>
  </w:style>
  <w:style w:type="character" w:customStyle="1" w:styleId="ConsNormal0">
    <w:name w:val="ConsNormal Знак"/>
    <w:link w:val="ConsNormal1"/>
    <w:locked/>
    <w:rsid w:val="00785C3C"/>
    <w:rPr>
      <w:rFonts w:ascii="Arial" w:eastAsia="Times New Roman" w:hAnsi="Arial" w:cs="Arial"/>
    </w:rPr>
  </w:style>
  <w:style w:type="paragraph" w:customStyle="1" w:styleId="ConsNormal1">
    <w:name w:val="ConsNormal"/>
    <w:link w:val="ConsNormal0"/>
    <w:rsid w:val="00785C3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30514723">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047CF-8BE7-4179-ACB8-64BF99A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13</cp:revision>
  <cp:lastPrinted>2021-05-25T06:28:00Z</cp:lastPrinted>
  <dcterms:created xsi:type="dcterms:W3CDTF">2020-11-16T04:41:00Z</dcterms:created>
  <dcterms:modified xsi:type="dcterms:W3CDTF">2021-05-25T06:31:00Z</dcterms:modified>
</cp:coreProperties>
</file>